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rPr>
          <w:rFonts w:ascii="华文中宋" w:hAnsi="华文中宋" w:eastAsia="华文中宋" w:cs="Times New Roman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Times New Roman"/>
          <w:color w:val="000000"/>
          <w:kern w:val="0"/>
          <w:sz w:val="44"/>
          <w:szCs w:val="44"/>
        </w:rPr>
        <w:t>济南文旅集团投资有限公司</w:t>
      </w:r>
    </w:p>
    <w:p>
      <w:pPr>
        <w:widowControl/>
        <w:shd w:val="clear" w:color="auto" w:fill="FFFFFF"/>
        <w:spacing w:line="640" w:lineRule="exact"/>
        <w:jc w:val="center"/>
        <w:rPr>
          <w:rFonts w:ascii="华文中宋" w:hAnsi="华文中宋" w:eastAsia="华文中宋" w:cs="Times New Roman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Times New Roman"/>
          <w:color w:val="000000"/>
          <w:kern w:val="0"/>
          <w:sz w:val="44"/>
          <w:szCs w:val="44"/>
        </w:rPr>
        <w:t>招聘岗位需求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一、招聘岗位</w:t>
      </w:r>
    </w:p>
    <w:p>
      <w:pPr>
        <w:spacing w:line="360" w:lineRule="auto"/>
        <w:ind w:left="315" w:firstLine="323" w:firstLineChars="101"/>
        <w:jc w:val="left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本次招聘共设岗位</w:t>
      </w:r>
      <w:r>
        <w:rPr>
          <w:rFonts w:ascii="仿宋" w:hAnsi="仿宋" w:eastAsia="仿宋" w:cs="微软雅黑"/>
          <w:color w:val="333333"/>
          <w:kern w:val="0"/>
          <w:sz w:val="32"/>
          <w:szCs w:val="32"/>
        </w:rPr>
        <w:t>7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个。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岗位需求数量</w:t>
      </w:r>
    </w:p>
    <w:p>
      <w:pPr>
        <w:spacing w:line="360" w:lineRule="auto"/>
        <w:ind w:left="64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综合部</w:t>
      </w:r>
      <w:r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  <w:t>2人</w:t>
      </w: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:其中综合部文员1人，项目部办公室主任1人；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投融资部</w:t>
      </w:r>
      <w:r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  <w:t>1人；</w:t>
      </w:r>
    </w:p>
    <w:p>
      <w:pPr>
        <w:spacing w:line="360" w:lineRule="auto"/>
        <w:ind w:left="64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财务部4人：其中副部长1人，项目公司财务总监1人，主管会计1人，会计人员1人。</w:t>
      </w:r>
    </w:p>
    <w:p>
      <w:pPr>
        <w:spacing w:line="360" w:lineRule="auto"/>
        <w:ind w:left="319" w:leftChars="152" w:firstLine="320" w:firstLineChars="10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三、任职条件</w:t>
      </w:r>
    </w:p>
    <w:p>
      <w:pPr>
        <w:spacing w:line="360" w:lineRule="auto"/>
        <w:ind w:left="315" w:firstLine="323" w:firstLineChars="101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岗位具体资格标准条件如下：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1、综合部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（1）</w:t>
      </w:r>
      <w:bookmarkStart w:id="0" w:name="_GoBack"/>
      <w:bookmarkEnd w:id="0"/>
      <w:r>
        <w:rPr>
          <w:rFonts w:hint="eastAsia" w:ascii="仿宋" w:hAnsi="仿宋" w:eastAsia="仿宋" w:cs="微软雅黑"/>
          <w:color w:val="333333"/>
          <w:kern w:val="0"/>
          <w:sz w:val="32"/>
          <w:szCs w:val="32"/>
          <w:lang w:val="en-US" w:eastAsia="zh-CN"/>
        </w:rPr>
        <w:t>文秘岗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国家认可本科及以上学历，公共管理类、工商管理类、中国语言文学类、教育学类、政治学类等相关专业；3年以上文字材料或行政管理工作经验；有较强的文字综合表达能力；熟练使用各种办公软件，精通PPT制作及图文制作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（2）项目部办公室主任：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国家认可本科及以上学历，具备良好的语言文字表达能力；具备高效执行力以及良好的沟通、协调能力，具有独立的分析和解决问题的综合管理能力。条件优秀者，可适当放宽招聘要求。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2、</w:t>
      </w:r>
      <w:r>
        <w:rPr>
          <w:rFonts w:ascii="仿宋" w:hAnsi="仿宋" w:eastAsia="仿宋" w:cs="微软雅黑"/>
          <w:color w:val="333333"/>
          <w:kern w:val="0"/>
          <w:sz w:val="32"/>
          <w:szCs w:val="32"/>
        </w:rPr>
        <w:t>投融资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部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ascii="仿宋" w:hAnsi="仿宋" w:eastAsia="仿宋" w:cs="微软雅黑"/>
          <w:color w:val="333333"/>
          <w:kern w:val="0"/>
          <w:sz w:val="32"/>
          <w:szCs w:val="32"/>
        </w:rPr>
        <w:t>国家认可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本</w:t>
      </w:r>
      <w:r>
        <w:rPr>
          <w:rFonts w:ascii="仿宋" w:hAnsi="仿宋" w:eastAsia="仿宋" w:cs="微软雅黑"/>
          <w:color w:val="333333"/>
          <w:kern w:val="0"/>
          <w:sz w:val="32"/>
          <w:szCs w:val="32"/>
        </w:rPr>
        <w:t>科及以上学历，</w:t>
      </w: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经济学类、财政学类、金融学类、经济与贸易类、工商管理类等相关专业；</w:t>
      </w:r>
      <w:r>
        <w:rPr>
          <w:rFonts w:ascii="仿宋" w:hAnsi="仿宋" w:eastAsia="仿宋" w:cs="微软雅黑"/>
          <w:color w:val="333333"/>
          <w:kern w:val="0"/>
          <w:sz w:val="32"/>
          <w:szCs w:val="32"/>
        </w:rPr>
        <w:t>熟悉银行投行业务、公司业务贷款流程，熟悉融资租赁或金融机构非表内业务、证券公司以及北交所和证券交易所业务流程，具有一定的市场敏锐性和区域数据分析能力，具有三年及以上投融资业务工作经验，条件优秀者，可适当放宽招聘要求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bCs/>
          <w:color w:val="333333"/>
          <w:kern w:val="0"/>
          <w:sz w:val="32"/>
          <w:szCs w:val="32"/>
        </w:rPr>
        <w:t>3、财务部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（1）财务部副部长、项目公司财务总监：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财务、会计专业国家认可本科及以上学历，会计师职称，注册会计师或注册税务师优先，五年以上财务管理经验，能根据上级公司总体要求，建立完善财务管理制度和流程，搭建科学的财务核算体系和财务监控体系；全面组织公司财务工作，负责公司预算管理和税收筹划，统筹公司资金安排，为公司经营决策提供准确、有效的财务依据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（2）主管会计: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财务、会计专业国家认可本科及以上学历，会计师职称，熟悉房地产业务，三年以上企业财务管理人员岗位相关工作经验，能够独立进行账务处理，熟悉会计法规和税法，熟练使用财务软件。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（3）会计人员：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 w:cs="微软雅黑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微软雅黑"/>
          <w:color w:val="333333"/>
          <w:kern w:val="0"/>
          <w:sz w:val="32"/>
          <w:szCs w:val="32"/>
        </w:rPr>
        <w:t>财务、会计专业国家认可本科及以上学历；具备会计初级职称，两年以上企业财务管理人员岗位相关工作经验，能够独立进行账务处理，熟悉会计法规和税法，熟练使用财务软件。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04E0"/>
    <w:multiLevelType w:val="multilevel"/>
    <w:tmpl w:val="28D104E0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C8"/>
    <w:rsid w:val="000A77C8"/>
    <w:rsid w:val="00466150"/>
    <w:rsid w:val="005867A9"/>
    <w:rsid w:val="00715632"/>
    <w:rsid w:val="00B84501"/>
    <w:rsid w:val="00BE35B0"/>
    <w:rsid w:val="00D05F9E"/>
    <w:rsid w:val="4FC6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745</Characters>
  <Lines>6</Lines>
  <Paragraphs>1</Paragraphs>
  <TotalTime>10</TotalTime>
  <ScaleCrop>false</ScaleCrop>
  <LinksUpToDate>false</LinksUpToDate>
  <CharactersWithSpaces>874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2019-07-31T02:56:00Z</dcterms:created>
  <dc:creator>user</dc:creator>
  <cp:lastModifiedBy>大道至簡</cp:lastModifiedBy>
  <dcterms:modified xsi:type="dcterms:W3CDTF">2019-08-05T09:23:31Z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